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4AD" w:rsidRDefault="004A14AD">
      <w:pPr>
        <w:widowControl w:val="0"/>
        <w:rPr>
          <w:rFonts w:ascii="Century Gothic" w:eastAsia="Century Gothic" w:hAnsi="Century Gothic" w:cs="Century Gothic"/>
          <w:sz w:val="24"/>
          <w:szCs w:val="24"/>
        </w:rPr>
      </w:pPr>
      <w:bookmarkStart w:id="0" w:name="_GoBack"/>
      <w:bookmarkEnd w:id="0"/>
    </w:p>
    <w:tbl>
      <w:tblPr>
        <w:tblStyle w:val="a"/>
        <w:tblW w:w="17430" w:type="dxa"/>
        <w:tblInd w:w="-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66"/>
        <w:gridCol w:w="5755"/>
        <w:gridCol w:w="5609"/>
      </w:tblGrid>
      <w:tr w:rsidR="004A14AD">
        <w:trPr>
          <w:trHeight w:val="480"/>
        </w:trPr>
        <w:tc>
          <w:tcPr>
            <w:tcW w:w="97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AD" w:rsidRDefault="004D6C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I. LEARNING OUTCOMES</w:t>
            </w:r>
          </w:p>
        </w:tc>
        <w:tc>
          <w:tcPr>
            <w:tcW w:w="46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AD" w:rsidRDefault="004D6C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Instructional Materials:</w:t>
            </w:r>
          </w:p>
          <w:p w:rsidR="004A14AD" w:rsidRDefault="004A14A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4A14AD" w:rsidRDefault="004D6C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CMP3 </w:t>
            </w:r>
          </w:p>
          <w:p w:rsidR="004A14AD" w:rsidRDefault="004D6C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Comparing and Scaling </w:t>
            </w:r>
          </w:p>
          <w:p w:rsidR="004A14AD" w:rsidRDefault="004D6C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Moving Straight Ahead</w:t>
            </w:r>
          </w:p>
          <w:p w:rsidR="004A14AD" w:rsidRDefault="004A14A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4A14AD" w:rsidRDefault="004D6C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DL materials: </w:t>
            </w:r>
          </w:p>
          <w:p w:rsidR="004A14AD" w:rsidRDefault="004D6C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>Accommodations will be provided based on individual student-based needs. Materials and classroom accommodations will be created and provided by a DL teacher.</w:t>
            </w:r>
          </w:p>
        </w:tc>
      </w:tr>
      <w:tr w:rsidR="004A14AD">
        <w:trPr>
          <w:trHeight w:val="690"/>
        </w:trPr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AD" w:rsidRDefault="004D6C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Enduring Understandings</w:t>
            </w:r>
          </w:p>
          <w:p w:rsidR="004A14AD" w:rsidRDefault="004D6C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 xml:space="preserve">After these five </w:t>
            </w:r>
            <w:proofErr w:type="gramStart"/>
            <w:r>
              <w:rPr>
                <w:rFonts w:ascii="Century Gothic" w:eastAsia="Century Gothic" w:hAnsi="Century Gothic" w:cs="Century Gothic"/>
                <w:i/>
              </w:rPr>
              <w:t>weeks,  students</w:t>
            </w:r>
            <w:proofErr w:type="gramEnd"/>
            <w:r>
              <w:rPr>
                <w:rFonts w:ascii="Century Gothic" w:eastAsia="Century Gothic" w:hAnsi="Century Gothic" w:cs="Century Gothic"/>
                <w:i/>
              </w:rPr>
              <w:t xml:space="preserve"> will understand…</w:t>
            </w:r>
          </w:p>
          <w:p w:rsidR="004A14AD" w:rsidRDefault="004D6CF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Using Similarity to Fi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nd Measurements </w:t>
            </w:r>
          </w:p>
          <w:p w:rsidR="004A14AD" w:rsidRDefault="004D6CF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Scaling Ratios </w:t>
            </w:r>
          </w:p>
          <w:p w:rsidR="004A14AD" w:rsidRDefault="004D6CF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 xml:space="preserve">Construct tables, graphs and symbolic equations that represent linear relationships </w:t>
            </w:r>
          </w:p>
          <w:p w:rsidR="004A14AD" w:rsidRDefault="004D6CF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Translate information about linear relationships given in a contextual setting, a table, a graph or an equation to one of the other forms</w:t>
            </w:r>
          </w:p>
          <w:p w:rsidR="004A14AD" w:rsidRDefault="004D6CF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 xml:space="preserve">Recognize that y=mx represents a proportional relationship </w:t>
            </w:r>
          </w:p>
          <w:p w:rsidR="004A14AD" w:rsidRDefault="004D6CF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 xml:space="preserve">Solve problems and make decisions about linear relationships using information given in tables, graphs and equations 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AD" w:rsidRDefault="004D6C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Essential Questions</w:t>
            </w:r>
          </w:p>
          <w:p w:rsidR="004A14AD" w:rsidRDefault="004D6C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To reveal their understanding, ask students…</w:t>
            </w:r>
          </w:p>
          <w:p w:rsidR="004A14AD" w:rsidRDefault="004A14A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4A14AD" w:rsidRDefault="004A14A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4A14AD" w:rsidRDefault="004D6CF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</w:rPr>
              <w:t>How do rati</w:t>
            </w:r>
            <w:r>
              <w:rPr>
                <w:rFonts w:ascii="Century Gothic" w:eastAsia="Century Gothic" w:hAnsi="Century Gothic" w:cs="Century Gothic"/>
              </w:rPr>
              <w:t xml:space="preserve">os relate to similar figures? </w:t>
            </w:r>
          </w:p>
          <w:p w:rsidR="004A14AD" w:rsidRDefault="004D6CF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</w:rPr>
              <w:t xml:space="preserve">How can I use similar figures to find a missing side length? </w:t>
            </w:r>
          </w:p>
          <w:p w:rsidR="004A14AD" w:rsidRDefault="004D6CF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 xml:space="preserve">What type of relationship is expressed in y=mx and how do you know? </w:t>
            </w:r>
          </w:p>
          <w:p w:rsidR="004A14AD" w:rsidRDefault="004D6CF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 xml:space="preserve">How do graphs and tables share the same information? </w:t>
            </w:r>
          </w:p>
          <w:p w:rsidR="004A14AD" w:rsidRDefault="004D6CF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How can you prove that two expressions a</w:t>
            </w:r>
            <w:r>
              <w:rPr>
                <w:rFonts w:ascii="Century Gothic" w:eastAsia="Century Gothic" w:hAnsi="Century Gothic" w:cs="Century Gothic"/>
                <w:i/>
              </w:rPr>
              <w:t xml:space="preserve">re equivalent? </w:t>
            </w:r>
          </w:p>
          <w:p w:rsidR="004A14AD" w:rsidRDefault="004D6CF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 xml:space="preserve">How many unknowns are there in a linear equation? </w:t>
            </w:r>
          </w:p>
          <w:p w:rsidR="004A14AD" w:rsidRDefault="004A14A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i/>
              </w:rPr>
            </w:pPr>
          </w:p>
        </w:tc>
        <w:tc>
          <w:tcPr>
            <w:tcW w:w="46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AD" w:rsidRDefault="004A14A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  <w:tr w:rsidR="004A14AD">
        <w:trPr>
          <w:trHeight w:val="440"/>
        </w:trPr>
        <w:tc>
          <w:tcPr>
            <w:tcW w:w="9705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AD" w:rsidRDefault="004D6C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Summative Assessments</w:t>
            </w:r>
          </w:p>
        </w:tc>
        <w:tc>
          <w:tcPr>
            <w:tcW w:w="46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AD" w:rsidRDefault="004D6C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Diagnostic/Pre-Assessments</w:t>
            </w:r>
          </w:p>
        </w:tc>
      </w:tr>
      <w:tr w:rsidR="004A14AD">
        <w:trPr>
          <w:trHeight w:val="440"/>
        </w:trPr>
        <w:tc>
          <w:tcPr>
            <w:tcW w:w="9705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AD" w:rsidRDefault="004D6C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Investigation </w:t>
            </w:r>
            <w:proofErr w:type="gramStart"/>
            <w:r>
              <w:rPr>
                <w:rFonts w:ascii="Century Gothic" w:eastAsia="Century Gothic" w:hAnsi="Century Gothic" w:cs="Century Gothic"/>
                <w:b/>
              </w:rPr>
              <w:t>1  Quiz</w:t>
            </w:r>
            <w:proofErr w:type="gramEnd"/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  <w:p w:rsidR="004A14AD" w:rsidRDefault="004D6C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Investigation 2 Quiz </w:t>
            </w:r>
          </w:p>
          <w:p w:rsidR="004A14AD" w:rsidRDefault="004D6C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Investigation 3 Quiz  </w:t>
            </w:r>
          </w:p>
          <w:p w:rsidR="004A14AD" w:rsidRDefault="004D6C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Unit Test </w:t>
            </w:r>
          </w:p>
        </w:tc>
        <w:tc>
          <w:tcPr>
            <w:tcW w:w="46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AD" w:rsidRDefault="004D6C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Unit Readiness </w:t>
            </w:r>
          </w:p>
          <w:p w:rsidR="004A14AD" w:rsidRDefault="004D6C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Pre-Assessment </w:t>
            </w:r>
          </w:p>
        </w:tc>
      </w:tr>
      <w:tr w:rsidR="004A14AD">
        <w:trPr>
          <w:trHeight w:val="440"/>
        </w:trPr>
        <w:tc>
          <w:tcPr>
            <w:tcW w:w="97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AD" w:rsidRDefault="004D6C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III. TEACHING PLAN </w:t>
            </w:r>
          </w:p>
        </w:tc>
        <w:tc>
          <w:tcPr>
            <w:tcW w:w="46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AD" w:rsidRDefault="004D6C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Formative Assessments</w:t>
            </w:r>
          </w:p>
          <w:p w:rsidR="004A14AD" w:rsidRDefault="004A14A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:rsidR="004A14AD" w:rsidRDefault="004A14AD">
      <w:pPr>
        <w:widowControl w:val="0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tblW w:w="21520" w:type="dxa"/>
        <w:tblInd w:w="-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5"/>
        <w:gridCol w:w="12403"/>
        <w:gridCol w:w="8522"/>
      </w:tblGrid>
      <w:tr w:rsidR="004A14AD">
        <w:trPr>
          <w:trHeight w:val="420"/>
        </w:trPr>
        <w:tc>
          <w:tcPr>
            <w:tcW w:w="819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AD" w:rsidRDefault="004D6C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Student Learning Goals</w:t>
            </w:r>
          </w:p>
          <w:p w:rsidR="004A14AD" w:rsidRDefault="004D6C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lastRenderedPageBreak/>
              <w:t xml:space="preserve">What standards/skills will </w:t>
            </w:r>
            <w:proofErr w:type="gramStart"/>
            <w:r>
              <w:rPr>
                <w:rFonts w:ascii="Century Gothic" w:eastAsia="Century Gothic" w:hAnsi="Century Gothic" w:cs="Century Gothic"/>
                <w:i/>
              </w:rPr>
              <w:t>students  learn</w:t>
            </w:r>
            <w:proofErr w:type="gramEnd"/>
            <w:r>
              <w:rPr>
                <w:rFonts w:ascii="Century Gothic" w:eastAsia="Century Gothic" w:hAnsi="Century Gothic" w:cs="Century Gothic"/>
                <w:i/>
              </w:rPr>
              <w:t>?</w:t>
            </w:r>
          </w:p>
          <w:p w:rsidR="004A14AD" w:rsidRDefault="004A14A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i/>
              </w:rPr>
            </w:pPr>
          </w:p>
        </w:tc>
        <w:tc>
          <w:tcPr>
            <w:tcW w:w="53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AD" w:rsidRDefault="004D6C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Student Learning Activities</w:t>
            </w:r>
          </w:p>
          <w:p w:rsidR="004A14AD" w:rsidRDefault="004D6C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</w:rPr>
              <w:lastRenderedPageBreak/>
              <w:t>To reach these goals, what will students do?</w:t>
            </w:r>
          </w:p>
        </w:tc>
      </w:tr>
      <w:tr w:rsidR="004A14AD">
        <w:trPr>
          <w:trHeight w:val="294"/>
        </w:trPr>
        <w:tc>
          <w:tcPr>
            <w:tcW w:w="819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AD" w:rsidRDefault="004A14A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53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AD" w:rsidRDefault="004A14A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4A14AD">
        <w:trPr>
          <w:trHeight w:val="717"/>
        </w:trPr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AD" w:rsidRDefault="004A14A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AD" w:rsidRDefault="004D6C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7.RP.A.2 Recognize and represent proportional relationships between quantities. </w:t>
            </w:r>
          </w:p>
          <w:p w:rsidR="004A14AD" w:rsidRDefault="004D6C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7.RP.A.2c Represent proportional relationships by equations. </w:t>
            </w:r>
          </w:p>
          <w:p w:rsidR="004A14AD" w:rsidRDefault="004D6C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7.RP.A.3 Use proportional relationships to solve multistep ratio and percent problems. 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AD" w:rsidRDefault="004D6C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Begin problems in Investigation 1</w:t>
            </w:r>
          </w:p>
        </w:tc>
      </w:tr>
      <w:tr w:rsidR="004A14AD">
        <w:trPr>
          <w:trHeight w:val="717"/>
        </w:trPr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AD" w:rsidRDefault="004A14A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AD" w:rsidRDefault="004D6C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7.RP.A.3 Use proportional relationships to solve multistep ratio and percent problems. </w:t>
            </w:r>
          </w:p>
          <w:p w:rsidR="004A14AD" w:rsidRDefault="004D6C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7.EE.B.4 Use variables to represent quantities in a real-world or mathematical problem, and construct simple 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AD" w:rsidRDefault="004D6C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Investigation 1 Quiz and Investigation 2</w:t>
            </w:r>
          </w:p>
        </w:tc>
      </w:tr>
      <w:tr w:rsidR="004A14AD">
        <w:trPr>
          <w:trHeight w:val="717"/>
        </w:trPr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AD" w:rsidRDefault="004A14A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AD" w:rsidRDefault="004D6C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7.RP.A.2c Repre</w:t>
            </w:r>
            <w:r>
              <w:rPr>
                <w:rFonts w:ascii="Century Gothic" w:eastAsia="Century Gothic" w:hAnsi="Century Gothic" w:cs="Century Gothic"/>
              </w:rPr>
              <w:t>sent proportional relationships by equations</w:t>
            </w:r>
          </w:p>
          <w:p w:rsidR="004A14AD" w:rsidRDefault="004D6C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7.RP.A.2b Identify the constant of proportionality (unit rate) in tables, graphs, equations, diagrams, and verbal descriptions of proportional relationships. 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AD" w:rsidRDefault="004D6C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Investigation 2</w:t>
            </w:r>
          </w:p>
        </w:tc>
      </w:tr>
      <w:tr w:rsidR="004A14AD">
        <w:trPr>
          <w:trHeight w:val="717"/>
        </w:trPr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AD" w:rsidRDefault="004A14A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AD" w:rsidRDefault="004D6C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7.RP.A.2d Explain what a point (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</w:rPr>
              <w:t>x,</w:t>
            </w:r>
            <w:r>
              <w:rPr>
                <w:rFonts w:ascii="Century Gothic" w:eastAsia="Century Gothic" w:hAnsi="Century Gothic" w:cs="Century Gothic"/>
              </w:rPr>
              <w:t>y</w:t>
            </w:r>
            <w:proofErr w:type="spellEnd"/>
            <w:proofErr w:type="gramEnd"/>
            <w:r>
              <w:rPr>
                <w:rFonts w:ascii="Century Gothic" w:eastAsia="Century Gothic" w:hAnsi="Century Gothic" w:cs="Century Gothic"/>
              </w:rPr>
              <w:t xml:space="preserve">) on the graph of a proportional relationship means in terms of the situation with special attention to the points (0,0) and (1,r), where r is the unit rate. </w:t>
            </w:r>
          </w:p>
          <w:p w:rsidR="004A14AD" w:rsidRDefault="004D6C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7.RP.A.2c Represent proportional relationships by equations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AD" w:rsidRDefault="004D6C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Complete Investigation 2</w:t>
            </w:r>
          </w:p>
        </w:tc>
      </w:tr>
      <w:tr w:rsidR="004A14AD">
        <w:trPr>
          <w:trHeight w:val="717"/>
        </w:trPr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AD" w:rsidRDefault="004A14A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AD" w:rsidRDefault="004D6C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7.EE.A.1 </w:t>
            </w:r>
            <w:r>
              <w:rPr>
                <w:rFonts w:ascii="Century Gothic" w:eastAsia="Century Gothic" w:hAnsi="Century Gothic" w:cs="Century Gothic"/>
              </w:rPr>
              <w:t xml:space="preserve">Apply properties of operations as strategies to add, subtract, factor and expand linear expressions with rational coefficients. </w:t>
            </w:r>
          </w:p>
          <w:p w:rsidR="004A14AD" w:rsidRDefault="004D6C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7.EE.AA.2 Understand that rewriting an expression in different forms in a problem context can shed light on the problem and how the quantities in it are related. 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AD" w:rsidRDefault="004D6C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Investigation 3 and 4</w:t>
            </w:r>
          </w:p>
        </w:tc>
      </w:tr>
    </w:tbl>
    <w:p w:rsidR="004A14AD" w:rsidRDefault="004A14AD">
      <w:pPr>
        <w:widowControl w:val="0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1"/>
        <w:tblW w:w="27560" w:type="dxa"/>
        <w:tblInd w:w="-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737"/>
        <w:gridCol w:w="10823"/>
      </w:tblGrid>
      <w:tr w:rsidR="004A14AD">
        <w:trPr>
          <w:trHeight w:val="717"/>
        </w:trPr>
        <w:tc>
          <w:tcPr>
            <w:tcW w:w="8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AD" w:rsidRDefault="004D6C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7.RP.A.2d Explain what a point (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</w:rPr>
              <w:t>x,y</w:t>
            </w:r>
            <w:proofErr w:type="spellEnd"/>
            <w:proofErr w:type="gramEnd"/>
            <w:r>
              <w:rPr>
                <w:rFonts w:ascii="Century Gothic" w:eastAsia="Century Gothic" w:hAnsi="Century Gothic" w:cs="Century Gothic"/>
              </w:rPr>
              <w:t>) on the graph of a proportional r</w:t>
            </w:r>
            <w:r>
              <w:rPr>
                <w:rFonts w:ascii="Century Gothic" w:eastAsia="Century Gothic" w:hAnsi="Century Gothic" w:cs="Century Gothic"/>
              </w:rPr>
              <w:t xml:space="preserve">elationship means in terms of the situation with special attention to the points (0,0) and (1,r), where r is the unit rate. </w:t>
            </w:r>
          </w:p>
          <w:p w:rsidR="004A14AD" w:rsidRDefault="004D6C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7.EE.B.3 Solve multi-step real-life and mathematical problems posed with positive and negative rational numbers in any form (whole </w:t>
            </w:r>
            <w:r>
              <w:rPr>
                <w:rFonts w:ascii="Century Gothic" w:eastAsia="Century Gothic" w:hAnsi="Century Gothic" w:cs="Century Gothic"/>
              </w:rPr>
              <w:t>numbers, fractions, and decimals), using tools strategically. Apply properties of operations to calculate with numbers in any form; convert between forms as appropriate; and assess the reasonableness of answers using mental computations and estimation stra</w:t>
            </w:r>
            <w:r>
              <w:rPr>
                <w:rFonts w:ascii="Century Gothic" w:eastAsia="Century Gothic" w:hAnsi="Century Gothic" w:cs="Century Gothic"/>
              </w:rPr>
              <w:t xml:space="preserve">tegies. 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4AD" w:rsidRDefault="004D6CF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Complete Investigation 4 and Unit Test </w:t>
            </w:r>
          </w:p>
        </w:tc>
      </w:tr>
    </w:tbl>
    <w:p w:rsidR="004A14AD" w:rsidRDefault="004A14AD">
      <w:pPr>
        <w:widowControl w:val="0"/>
      </w:pPr>
    </w:p>
    <w:sectPr w:rsidR="004A14AD">
      <w:head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CF5" w:rsidRDefault="004D6CF5">
      <w:pPr>
        <w:spacing w:line="240" w:lineRule="auto"/>
      </w:pPr>
      <w:r>
        <w:separator/>
      </w:r>
    </w:p>
  </w:endnote>
  <w:endnote w:type="continuationSeparator" w:id="0">
    <w:p w:rsidR="004D6CF5" w:rsidRDefault="004D6C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CF5" w:rsidRDefault="004D6CF5">
      <w:pPr>
        <w:spacing w:line="240" w:lineRule="auto"/>
      </w:pPr>
      <w:r>
        <w:separator/>
      </w:r>
    </w:p>
  </w:footnote>
  <w:footnote w:type="continuationSeparator" w:id="0">
    <w:p w:rsidR="004D6CF5" w:rsidRDefault="004D6C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4AD" w:rsidRDefault="004D6CF5">
    <w:pPr>
      <w:rPr>
        <w:b/>
        <w:sz w:val="30"/>
        <w:szCs w:val="30"/>
      </w:rPr>
    </w:pPr>
    <w:r>
      <w:rPr>
        <w:b/>
        <w:sz w:val="30"/>
        <w:szCs w:val="30"/>
      </w:rPr>
      <w:t xml:space="preserve">7th Grade Math Quarter 3 Overview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526CA"/>
    <w:multiLevelType w:val="multilevel"/>
    <w:tmpl w:val="93C439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6667DE"/>
    <w:multiLevelType w:val="multilevel"/>
    <w:tmpl w:val="F132D1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4AD"/>
    <w:rsid w:val="004A14AD"/>
    <w:rsid w:val="004D6CF5"/>
    <w:rsid w:val="009B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1CD657-27B3-4ED7-B633-E70D362D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Karic, Renee V</dc:creator>
  <cp:lastModifiedBy>Karic, Renee V</cp:lastModifiedBy>
  <cp:revision>2</cp:revision>
  <dcterms:created xsi:type="dcterms:W3CDTF">2021-09-27T17:04:00Z</dcterms:created>
  <dcterms:modified xsi:type="dcterms:W3CDTF">2021-09-27T17:04:00Z</dcterms:modified>
</cp:coreProperties>
</file>